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5D77730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64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5CFEF1D7" w:rsidR="00CE57D6" w:rsidRPr="00DA63E7" w:rsidRDefault="00CE57D6" w:rsidP="007D7741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5F23E7">
        <w:rPr>
          <w:rFonts w:asciiTheme="minorHAnsi" w:hAnsiTheme="minorHAnsi" w:cstheme="minorHAnsi"/>
          <w:b/>
          <w:sz w:val="24"/>
          <w:szCs w:val="24"/>
        </w:rPr>
        <w:t>NILSON JOSÉ DE SOUSA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="005F23E7">
        <w:rPr>
          <w:rFonts w:asciiTheme="minorHAnsi" w:hAnsiTheme="minorHAnsi" w:cstheme="minorHAnsi"/>
          <w:b/>
          <w:bCs/>
          <w:sz w:val="24"/>
          <w:szCs w:val="24"/>
        </w:rPr>
        <w:t>SECRETÁRIO DE FINANÇAS E TRIBUTOS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 w:rsidR="007D7741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 w:rsidR="005F23E7">
        <w:rPr>
          <w:rFonts w:asciiTheme="minorHAnsi" w:hAnsiTheme="minorHAnsi" w:cstheme="minorHAnsi"/>
          <w:sz w:val="24"/>
          <w:szCs w:val="24"/>
        </w:rPr>
        <w:t>Finanças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5C8E410A" w14:textId="17F9623B" w:rsidR="004F5AB7" w:rsidRDefault="004F5AB7" w:rsidP="007D7741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</w:t>
      </w:r>
      <w:r>
        <w:rPr>
          <w:rFonts w:asciiTheme="minorHAnsi" w:hAnsiTheme="minorHAnsi" w:cstheme="minorHAnsi"/>
          <w:sz w:val="24"/>
          <w:szCs w:val="24"/>
        </w:rPr>
        <w:t>nomeação</w:t>
      </w:r>
      <w:r>
        <w:rPr>
          <w:rFonts w:asciiTheme="minorHAnsi" w:hAnsiTheme="minorHAnsi" w:cstheme="minorHAnsi"/>
          <w:sz w:val="24"/>
          <w:szCs w:val="24"/>
        </w:rPr>
        <w:t xml:space="preserve"> inicia-se na data de </w:t>
      </w:r>
      <w:r>
        <w:rPr>
          <w:rFonts w:asciiTheme="minorHAnsi" w:hAnsiTheme="minorHAnsi" w:cstheme="minorHAnsi"/>
          <w:sz w:val="24"/>
          <w:szCs w:val="24"/>
        </w:rPr>
        <w:t>1° de julho</w:t>
      </w:r>
      <w:r>
        <w:rPr>
          <w:rFonts w:asciiTheme="minorHAnsi" w:hAnsiTheme="minorHAnsi" w:cstheme="minorHAnsi"/>
          <w:sz w:val="24"/>
          <w:szCs w:val="24"/>
        </w:rPr>
        <w:t xml:space="preserve"> de 2024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7481C98" w14:textId="358C6EF4" w:rsidR="00CE57D6" w:rsidRPr="009E2073" w:rsidRDefault="00CE57D6" w:rsidP="007D7741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819D078" w:rsidR="00CE57D6" w:rsidRDefault="00CE57D6" w:rsidP="007D7741">
      <w:pPr>
        <w:pStyle w:val="Recuodecorpodetexto"/>
        <w:tabs>
          <w:tab w:val="left" w:pos="0"/>
        </w:tabs>
        <w:spacing w:line="36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349017A4" w:rsidR="00CE57D6" w:rsidRPr="009E2073" w:rsidRDefault="00CE57D6" w:rsidP="007D774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4F5AB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 w:rsidR="005F23E7">
        <w:rPr>
          <w:rFonts w:asciiTheme="minorHAnsi" w:hAnsiTheme="minorHAnsi" w:cstheme="minorHAnsi"/>
          <w:sz w:val="24"/>
          <w:szCs w:val="24"/>
        </w:rPr>
        <w:t>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39D1B7FF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FA380B">
        <w:rPr>
          <w:rFonts w:asciiTheme="minorHAnsi" w:hAnsiTheme="minorHAnsi" w:cstheme="minorHAnsi"/>
          <w:sz w:val="24"/>
          <w:szCs w:val="24"/>
        </w:rPr>
        <w:t>1°</w:t>
      </w:r>
      <w:r w:rsidR="006648EA">
        <w:rPr>
          <w:rFonts w:asciiTheme="minorHAnsi" w:hAnsiTheme="minorHAnsi" w:cstheme="minorHAnsi"/>
          <w:sz w:val="24"/>
          <w:szCs w:val="24"/>
        </w:rPr>
        <w:t xml:space="preserve"> de ju</w:t>
      </w:r>
      <w:r w:rsidR="005F23E7">
        <w:rPr>
          <w:rFonts w:asciiTheme="minorHAnsi" w:hAnsiTheme="minorHAnsi" w:cstheme="minorHAnsi"/>
          <w:sz w:val="24"/>
          <w:szCs w:val="24"/>
        </w:rPr>
        <w:t>l</w:t>
      </w:r>
      <w:r w:rsidR="006648EA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5882" w14:textId="77777777" w:rsidR="0045402C" w:rsidRDefault="0045402C" w:rsidP="00E467BF">
      <w:r>
        <w:separator/>
      </w:r>
    </w:p>
  </w:endnote>
  <w:endnote w:type="continuationSeparator" w:id="0">
    <w:p w14:paraId="17871BA7" w14:textId="77777777" w:rsidR="0045402C" w:rsidRDefault="0045402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9CC8" w14:textId="77777777" w:rsidR="0045402C" w:rsidRDefault="0045402C" w:rsidP="00E467BF">
      <w:r>
        <w:separator/>
      </w:r>
    </w:p>
  </w:footnote>
  <w:footnote w:type="continuationSeparator" w:id="0">
    <w:p w14:paraId="20A52987" w14:textId="77777777" w:rsidR="0045402C" w:rsidRDefault="0045402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354997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917BA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2C6F"/>
    <w:rsid w:val="003F5D66"/>
    <w:rsid w:val="004009E3"/>
    <w:rsid w:val="00422881"/>
    <w:rsid w:val="00425E7C"/>
    <w:rsid w:val="004405C9"/>
    <w:rsid w:val="00444FC3"/>
    <w:rsid w:val="0045402C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5AB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23E7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9A"/>
    <w:rsid w:val="00793ACB"/>
    <w:rsid w:val="00794261"/>
    <w:rsid w:val="007A298C"/>
    <w:rsid w:val="007A2BAF"/>
    <w:rsid w:val="007A34B8"/>
    <w:rsid w:val="007A43BC"/>
    <w:rsid w:val="007A4BC3"/>
    <w:rsid w:val="007A6133"/>
    <w:rsid w:val="007A7F77"/>
    <w:rsid w:val="007C0647"/>
    <w:rsid w:val="007C4003"/>
    <w:rsid w:val="007C4DAE"/>
    <w:rsid w:val="007D1E69"/>
    <w:rsid w:val="007D57A9"/>
    <w:rsid w:val="007D7741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4089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D7202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274E5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12DF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55B86"/>
    <w:rsid w:val="00F62D4D"/>
    <w:rsid w:val="00F64C1A"/>
    <w:rsid w:val="00FA04AD"/>
    <w:rsid w:val="00FA380B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15</cp:revision>
  <cp:lastPrinted>2024-07-01T19:02:00Z</cp:lastPrinted>
  <dcterms:created xsi:type="dcterms:W3CDTF">2024-04-29T13:28:00Z</dcterms:created>
  <dcterms:modified xsi:type="dcterms:W3CDTF">2024-07-01T19:02:00Z</dcterms:modified>
</cp:coreProperties>
</file>